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gif" ContentType="image/gif"/>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45" w:rsidRPr="00FE4B89" w:rsidRDefault="007A7E45" w:rsidP="00FE4B89">
      <w:bookmarkStart w:id="0" w:name="_GoBack"/>
      <w:bookmarkEnd w:id="0"/>
    </w:p>
    <w:sectPr w:rsidR="007A7E45" w:rsidRPr="00FE4B89" w:rsidSect="00F91724">
      <w:headerReference w:type="default" r:id="rId7"/>
      <w:footerReference w:type="default" r:id="rId8"/>
      <w:type w:val="continuous"/>
      <w:pgSz w:w="11906" w:h="16838"/>
      <w:pgMar w:top="851" w:right="851" w:bottom="851" w:left="851" w:header="709" w:footer="709" w:gutter="0"/>
      <w:cols w:space="708"/>
      <w:docGrid w:linePitch="360"/>
    </w:sectPr>
    <w:p>
      <w:pPr>
        <w:jc w:val="left"/>
        <w:pStyle w:val="Heading1"/>
      </w:pPr>
      <w:r>
        <w:rPr>
          <w:rFonts w:hAnsi="Times New Roman" w:cs="Times New Roman"/>
        </w:rPr>
        <w:t xml:space="preserve">OBRAZLOŽENJE OPĆEG DIJELA FINANCIJSKOG PLANA</w:t>
      </w:r>
    </w:p>
    <w:p>
      <w:pPr>
        <w:jc w:val="left"/>
        <w:pStyle w:val="Heading2"/>
      </w:pPr>
      <w:r>
        <w:rPr>
          <w:rFonts w:hAnsi="Times New Roman" w:cs="Times New Roman"/>
        </w:rPr>
        <w:t xml:space="preserve">10905 Ministarstvo pravosuđa, uprave i digitalne transformacije</w:t>
      </w:r>
    </w:p>
    <w:p>
      <w:pPr>
        <w:jc w:val="both"/>
        <w:pStyle w:val="Normal"/>
      </w:pPr>
      <w:r>
        <w:rPr>
          <w:rFonts w:hAnsi="Times New Roman" w:cs="Times New Roman"/>
        </w:rPr>
        <w:t xml:space="preserve">PRIHODI I PRIMICI  
</w:t>
      </w:r>
    </w:p>
    <w:p>
      <w:pPr>
        <w:jc w:val="both"/>
        <w:pStyle w:val="Normal"/>
      </w:pPr>
      <w:r>
        <w:rPr>
          <w:rFonts w:hAnsi="Times New Roman" w:cs="Times New Roman"/>
        </w:rPr>
        <w:t xml:space="preserve">Ministarstvo pravosuđa, uprave i digitalne transformacije u svom Financijskom planu za razdoblje 2025. - 2027. planira ostvariti Prihode poslovanja u iznosu 309.721.014 € u 2025., 323.635.124 € u 2026. i 283.363.404 € u 2027. te Primitke od financijske imovine i zaduživanja u iznosu 27.300.000 € u 2025., 28.500.000 € u 2025. i 18.700.000 € u 2026., od čega se na rashode koji se financiraju od Prihoda iz proračuna (skupina 67) i Primitaka od zaduživanja (skupina 84) za sredstva u limitu odnosi 251.550.697 € u 2025., 325.352.694 € u 2026. i 280.719.839 € u 2027., a ostatak se odnosi na prihode koji se ostvaruju van utvrđenih limita.  
</w:t>
      </w:r>
    </w:p>
    <w:p>
      <w:pPr>
        <w:jc w:val="both"/>
        <w:pStyle w:val="Normal"/>
      </w:pPr>
      <w:r>
        <w:rPr>
          <w:rFonts w:hAnsi="Times New Roman" w:cs="Times New Roman"/>
        </w:rPr>
        <w:t xml:space="preserve">Vrijednosno najznačajniji iznos prihoda odnosi se na Prihode iz nadležnog proračuna, odnosno na Opće prihode i primitke (izvor 11) i Sredstva učešća za pomoći (izvor 12) koji ukupno iznose 224.250.697 € u 2025., 296.852.694 € u 2026. i 273.607.438 € u 2027. te na prihode iz Mehanizama za oporavak i otpornost (izvor 581) u iznosima 80.650.964 € u 2025. i 16.221.674 € u 2026.  
</w:t>
      </w:r>
    </w:p>
    <w:p>
      <w:pPr>
        <w:jc w:val="both"/>
        <w:pStyle w:val="Normal"/>
      </w:pPr>
      <w:r>
        <w:rPr>
          <w:rFonts w:hAnsi="Times New Roman" w:cs="Times New Roman"/>
        </w:rPr>
        <w:t xml:space="preserve">Vlastiti prihodi (izvor 31) ostvaruju se od sredstava uplaćenih na temelju sklopljenih Ugovora o postavljanju i korištenju samoposlužnih aparata za automatsku distribuciju toplih i hladnih napitaka, te snack proizvoda, prihodi od otkupa praznih originalnih tonera, prihodi od čajne kuhinje te su planirani u iznosu 10.000 € u sve tri godine.  
</w:t>
      </w:r>
    </w:p>
    <w:p>
      <w:pPr>
        <w:jc w:val="both"/>
        <w:pStyle w:val="Normal"/>
      </w:pPr>
      <w:r>
        <w:rPr>
          <w:rFonts w:hAnsi="Times New Roman" w:cs="Times New Roman"/>
        </w:rPr>
        <w:t xml:space="preserve">Prihodi od igara na sreću (izvor 41) ostvaruju se na temelju uplata sredstava koja se dodjeljuju temeljem Uredbe o kriterijima za utvrđivanje korisnika i načinu raspodjele dijela prihoda od igara na sreću za sljedeću proračunsku godinu te su planirani u iznosima 1.352.891 € za 2025., 1.464.021 € za 2026. i 1.472.235 za 2027.  
</w:t>
      </w:r>
    </w:p>
    <w:p>
      <w:pPr>
        <w:jc w:val="both"/>
        <w:pStyle w:val="Normal"/>
      </w:pPr>
      <w:r>
        <w:rPr>
          <w:rFonts w:hAnsi="Times New Roman" w:cs="Times New Roman"/>
        </w:rPr>
        <w:t xml:space="preserve">Ostali prihodi za posebne namjene (izvor 43) ostvaruju se od sredstava uplaćenih kao naknade troškova za polaganje pravosudnih ispita, posebnog stručnog ispita za ovlaštene zemljišnoknjižne referente, za polaganje javnobilježničkog ispita i stručnog ispita za stečajne upravitelje kao i sredstva za rad tijela na poslovima izvlaštenja koja se dijelom financiraju iz sredstava korisnika izvlaštenja, a planirani su u iznosima 200.000 € u 2025. i 300.000 € u 2026. i 2027. 
</w:t>
      </w:r>
    </w:p>
    <w:p>
      <w:pPr>
        <w:jc w:val="both"/>
        <w:pStyle w:val="Normal"/>
      </w:pPr>
      <w:r>
        <w:rPr>
          <w:rFonts w:hAnsi="Times New Roman" w:cs="Times New Roman"/>
        </w:rPr>
        <w:t xml:space="preserve">Pomoći EU (izvor 51) ostvaruju se najvećim dijelom od uplata za refundacije putnih troškova delegata Vijeća EU i planirane su u iznosima 1.094.450 € u sve 3 godine. 
</w:t>
      </w:r>
    </w:p>
    <w:p>
      <w:pPr>
        <w:jc w:val="both"/>
        <w:pStyle w:val="Normal"/>
      </w:pPr>
      <w:r>
        <w:rPr>
          <w:rFonts w:hAnsi="Times New Roman" w:cs="Times New Roman"/>
        </w:rPr>
        <w:t xml:space="preserve">Ostale pomoći i darovnice (izvor 52) ostvaruju se od  uplata sredstava na temelju Odluke o utvrđivanju sastava i imenovanju predsjednika, članova i tajnika povjerenstva Vlade Republike Hrvatske za rješavanje sporova o pravima općina, gradova i županija i troškovima postupka pred Povjerenstvom od 23. srpnja 2015., i Ugovora o dodjeli bespovratnih sredstava u okviru programa ERASMUS+ sklopljenog između Agencije za mobilnost i programe Europske unije te se planiraju u iznosima 34.000 € u 2025. i 20.000 € u 2026. i 2027. 
</w:t>
      </w:r>
    </w:p>
    <w:p>
      <w:pPr>
        <w:jc w:val="both"/>
        <w:pStyle w:val="Normal"/>
      </w:pPr>
      <w:r>
        <w:rPr>
          <w:rFonts w:hAnsi="Times New Roman" w:cs="Times New Roman"/>
        </w:rPr>
        <w:t xml:space="preserve">U okviru prihoda skupine 56 Fondovi EU, za izvor 563 Europski fond za regionalni razvoj iznos prihoda planira se sukladno očekivanoj dinamici trošenja sredstava, odnosno jednak je visini planiranih rashoda te iznosi 2.073.126 € za 2025., 7.936.284 € u 2026. i 7.123.026 € u 2027. 
</w:t>
      </w:r>
    </w:p>
    <w:p>
      <w:pPr>
        <w:jc w:val="both"/>
        <w:pStyle w:val="Normal"/>
      </w:pPr>
      <w:r>
        <w:rPr>
          <w:rFonts w:hAnsi="Times New Roman" w:cs="Times New Roman"/>
        </w:rPr>
        <w:t xml:space="preserve">Instrumenti Europskog gospodarskog prostora i ostali instrumenti (izvor 573) - iznos prihoda planira se sukladno očekivanoj dinamici trošenja sredstava, odnosno u visini rashoda te iznosi 229.230 € u 2025. 
</w:t>
      </w:r>
    </w:p>
    <w:p>
      <w:pPr>
        <w:jc w:val="both"/>
        <w:pStyle w:val="Normal"/>
      </w:pPr>
      <w:r>
        <w:rPr>
          <w:rFonts w:hAnsi="Times New Roman" w:cs="Times New Roman"/>
        </w:rPr>
        <w:t xml:space="preserve">Ministarstvo također planira ostvariti Namjenske primitke - ostali (izvor 810) u iznosima 27.300.000 € u 2025., 28.500.000 € 2026. i 18.700.000 € u 2027.  
</w:t>
      </w:r>
    </w:p>
    <w:p>
      <w:pPr>
        <w:jc w:val="both"/>
        <w:pStyle w:val="Normal"/>
      </w:pPr>
      <w:r>
        <w:rPr>
          <w:rFonts w:hAnsi="Times New Roman" w:cs="Times New Roman"/>
        </w:rPr>
        <w:t xml:space="preserve">RASHODI I IZDACI 
</w:t>
      </w:r>
    </w:p>
    <w:p>
      <w:pPr>
        <w:jc w:val="both"/>
        <w:pStyle w:val="Normal"/>
      </w:pPr>
      <w:r>
        <w:rPr>
          <w:rFonts w:hAnsi="Times New Roman" w:cs="Times New Roman"/>
        </w:rPr>
        <w:t xml:space="preserve">Planirani rashodi i izdaci za 2025. godinu iznose 337.126.897 €, od toga su Rashodi poslovanja 169.978.874 € (50,42%), a Rashodi za nabavu nefinancijske imovine 167.148.023 € (49,58%). Projekcija rashoda i izdataka za 2026. godinu iznosi 352.096.302 €, od čega se na Rashode poslovanja odnosi 181.669.803 € (51,60%), a na Rashode za nabavu nefinancijske imovine 170.426.499 € (48,40%). Projekcija rashoda i izdataka za 2027. godinu iznosi 301.887.114 €, od čega se na Rashode poslovanja odnosi 189.192.263 € (62,67%), a na Rashode za nabavu nefinancijske imovine 112.694.851 € (37,33%). Najveći udio u planiranim sredstvima se odnosi na izvore financiranja 11, 5 i 8. 
</w:t>
      </w:r>
    </w:p>
    <w:p>
      <w:pPr>
        <w:jc w:val="both"/>
        <w:pStyle w:val="Normal"/>
      </w:pPr>
      <w:r>
        <w:rPr>
          <w:rFonts w:hAnsi="Times New Roman" w:cs="Times New Roman"/>
        </w:rPr>
        <w:t xml:space="preserve">-	Izvor financiranja 11 - Opći prihodi i primici  
</w:t>
      </w:r>
    </w:p>
    <w:p>
      <w:pPr>
        <w:jc w:val="both"/>
        <w:pStyle w:val="Normal"/>
      </w:pPr>
      <w:r>
        <w:rPr>
          <w:rFonts w:hAnsi="Times New Roman" w:cs="Times New Roman"/>
        </w:rPr>
        <w:t xml:space="preserve">Najveći udio u planiranim sredstvima (67%) osiguran je iz izvora financiranja 11 - Opći prihodi i primici. Od ukupnog plana za 2025. godinu u iznosu 223.594.157 €, najveći dio u iznosu 67.705.916 € odnosno 30% od  ukupnog plana na izvoru 11 odnosi se na materijalne rashode. Najveći dio rashoda u iznosu 32.686.590 € (48%) se osnosi na trošak za računalne usluge (48%) te za troškove zakupnina i najamnina u iznosu 12.341.662 € (18%) temeljem 71 aktivnog ugovora o zakupu poslovnog prostora.
</w:t>
      </w:r>
    </w:p>
    <w:p>
      <w:pPr>
        <w:jc w:val="both"/>
        <w:pStyle w:val="Normal"/>
      </w:pPr>
      <w:r>
        <w:rPr>
          <w:rFonts w:hAnsi="Times New Roman" w:cs="Times New Roman"/>
        </w:rPr>
        <w:t xml:space="preserve">18 % ukupnog plana financiranog iz izvora 11 se odnosi na skupinu 36 - Pomoći dane u inozemstvo i unutar općeg proračuna, od čega se najveći iznos odnosi na sredstva planirana za obavljanje poslova državne uprave koji su od 1. siječnja 2020. godine povjereni jedinicama područne (regionalne) samouprave – županijama. Za financiranje povjerenih poslova planirano je 41.011.348 € u sve 3 godine.
</w:t>
      </w:r>
    </w:p>
    <w:p>
      <w:pPr>
        <w:jc w:val="both"/>
        <w:pStyle w:val="Normal"/>
      </w:pPr>
      <w:r>
        <w:rPr>
          <w:rFonts w:hAnsi="Times New Roman" w:cs="Times New Roman"/>
        </w:rPr>
        <w:t xml:space="preserve">Od ukupnog iznosa planiranih sredstava na izvoru 11 Opće prihodi i primitci, 16 % se odnosi na skupinu 31 – Rashodi za zaposlene (plaće, doprinos i ostali rashodi za zaposlene). 
</w:t>
      </w:r>
    </w:p>
    <w:p>
      <w:pPr>
        <w:jc w:val="both"/>
        <w:pStyle w:val="Normal"/>
      </w:pPr>
      <w:r>
        <w:rPr>
          <w:rFonts w:hAnsi="Times New Roman" w:cs="Times New Roman"/>
        </w:rPr>
        <w:t xml:space="preserve">-	Izvor financiranja 5 – Pomoći 
</w:t>
      </w:r>
    </w:p>
    <w:p>
      <w:pPr>
        <w:jc w:val="both"/>
        <w:pStyle w:val="Normal"/>
      </w:pPr>
      <w:r>
        <w:rPr>
          <w:rFonts w:hAnsi="Times New Roman" w:cs="Times New Roman"/>
        </w:rPr>
        <w:t xml:space="preserve">Od ukupno planiranih rashoda, na rashode koji se financiraju iz izvora financiranja 5 – Pomoći odnosi se 84.172.870 € (25%) za 2025., 25.385.508 € za 2026. (7,2%) i 8.221.576 € (2,7%) za 2027. godinu. Najveći dio u planiranim sredstvima iz ovog izvora odnosi se na izvor 581 – Mehanizam za oporavak i otpornost – NPOO u iznosu 80.650.964 € za 2025.  i 16.221.674 € za 2026. godinu. Sredstva su planirana za provedbu  ugovora o dodjeli bespovratnih sredstava kojima će se financirati više projekata među kojima su: Provođenje mjera energetske učinkovitosti za obnovu zastarjelih objekata pravosudnih tijela, Stabilna i otporna IT infrastruktura informacijskog sustava pravosuđa, Daljnja optimizacija i decentralizacija JLP(R)S putem potpore funkcionalnom spajanju, Uključivanje šire javnosti u borbu protiv korupcije, podizanjem javne svijesti o štetnosti korupcije, nužnosti sprječavanja i pravnoj zaštiti prijavitelja, Unaprjeđenje korporativnog upravljanja u trgovačkim društvima u većinskom vlasništvu jedinica lokalne i područne (regionalne) samouprave, Unaprjeđenje sustava za upravljanje sudskim predmetima (eSpis), Unaprjeđenje informacijskog sustava zemljišnih knjiga i katastra, Razvoj alata za javnu objavu i pretraživanje sudskih odluka, Ulaganja u mreže državne informacijske infrastrukture, Konsolidacija sustava zdravstvene informacijske infrastrukture CEZIH, nadogradnja Centra dijeljenih usluga, Izrada digitalne mobilne platforme, Uspostava središnjeg sustava interoperabilnosti, Uspostava jedinstvenog kontakt centra za sve e-javne usluge za pružanje korisničke podrške i Uspostava centralnog data lake repozitorija i sustava poslovne analitike.  
</w:t>
      </w:r>
    </w:p>
    <w:p>
      <w:pPr>
        <w:jc w:val="both"/>
        <w:pStyle w:val="Normal"/>
      </w:pPr>
      <w:r>
        <w:rPr>
          <w:rFonts w:hAnsi="Times New Roman" w:cs="Times New Roman"/>
        </w:rPr>
        <w:t xml:space="preserve">-	Izvor financiranja 8 – Namjenski primici od zaduživanja 
</w:t>
      </w:r>
    </w:p>
    <w:p>
      <w:pPr>
        <w:jc w:val="both"/>
        <w:pStyle w:val="Normal"/>
      </w:pPr>
      <w:r>
        <w:rPr>
          <w:rFonts w:hAnsi="Times New Roman" w:cs="Times New Roman"/>
        </w:rPr>
        <w:t xml:space="preserve">Od ukupno planiranih rashoda, za rashode koji se financiraju iz izvora financiranja 81 – Namjenski primici od zaduživanja za 2025. godinu je planirano 27.300.000 € (7 %), za 2026. godinu 28.500.000 € (8%) i za 2027. godinu 18.700.000 € (6%). Planiranim sredstvima se provodi Projekt rekonstrukcije i adaptacije zgrada pravosudnih tijela, financiran (IBRD zajam) i novi zajam PROJEKT INTEGRIRANIH USLUGA ZEMLJIŠNE ADMINISTRACIJE I PRAVOSUĐA (IBRD ZAJAM 9645-HR). 
</w:t>
      </w:r>
    </w:p>
    <w:p>
      <w:pPr>
        <w:jc w:val="both"/>
        <w:pStyle w:val="Normal"/>
      </w:pPr>
      <w:r>
        <w:rPr>
          <w:rFonts w:hAnsi="Times New Roman" w:cs="Times New Roman"/>
        </w:rPr>
        <w:t xml:space="preserve">PRIJENOS SREDSTAVA IZ PRETHODNE I U SLJEDEĆU GODINU 
</w:t>
      </w:r>
    </w:p>
    <w:p>
      <w:pPr>
        <w:jc w:val="both"/>
        <w:pStyle w:val="Normal"/>
      </w:pPr>
      <w:r>
        <w:rPr>
          <w:rFonts w:hAnsi="Times New Roman" w:cs="Times New Roman"/>
        </w:rPr>
        <w:t xml:space="preserve">Ministarstvo pravosuđa, uprave i digitalne transformacije prenosi sredstava iz 2024. u 2025. godinu po slijedećim izvorima financiranja:  
</w:t>
      </w:r>
    </w:p>
    <w:p>
      <w:pPr>
        <w:jc w:val="both"/>
        <w:pStyle w:val="Normal"/>
      </w:pPr>
      <w:r>
        <w:rPr>
          <w:rFonts w:hAnsi="Times New Roman" w:cs="Times New Roman"/>
        </w:rPr>
        <w:t xml:space="preserve">Vlastiti prihodi: odnos iz 2024. u 2025. - 54.039 €, odnos iz 2025. – 55.230 €, odnos iz 2026. – 8.809 € i odnos iz 2027. – 8.809 €.
</w:t>
      </w:r>
    </w:p>
    <w:p>
      <w:pPr>
        <w:jc w:val="both"/>
        <w:pStyle w:val="Normal"/>
      </w:pPr>
      <w:r>
        <w:rPr>
          <w:rFonts w:hAnsi="Times New Roman" w:cs="Times New Roman"/>
        </w:rPr>
        <w:t xml:space="preserve">Prihodi od igara na sreću: odnos iz 2024. u 2025. – 718.932 €, odnos u 2026. – 867.479 €, odnos u 2027. – 1.027.501 € i odnos u 2028. – 1.195.991€. 
</w:t>
      </w:r>
    </w:p>
    <w:p>
      <w:pPr>
        <w:jc w:val="both"/>
        <w:pStyle w:val="Normal"/>
      </w:pPr>
      <w:r>
        <w:rPr>
          <w:rFonts w:hAnsi="Times New Roman" w:cs="Times New Roman"/>
        </w:rPr>
        <w:t xml:space="preserve"> Ostali prihodi za posebne namjene: odnos iz 2024. u 2025. – 166.521 €, odnos u 2026. – 58.421 €, odnos u 2027. – 50.321 € i odnos u 2028. – 42.221 €.
</w:t>
      </w:r>
    </w:p>
    <w:p>
      <w:pPr>
        <w:jc w:val="both"/>
        <w:pStyle w:val="Normal"/>
      </w:pPr>
      <w:r>
        <w:rPr>
          <w:rFonts w:hAnsi="Times New Roman" w:cs="Times New Roman"/>
        </w:rPr>
        <w:t xml:space="preserve">Pomoći EU (51): odnos iz 2024. u 2025. – 121.300 €, odnos u 2026. – 96.850 €, odnos u 2027. – 72.400 € i odnos u 2028. – 47.950 €.
</w:t>
      </w:r>
    </w:p>
    <w:p>
      <w:pPr>
        <w:jc w:val="both"/>
        <w:pStyle w:val="Normal"/>
      </w:pPr>
      <w:r>
        <w:rPr>
          <w:rFonts w:hAnsi="Times New Roman" w:cs="Times New Roman"/>
        </w:rPr>
        <w:t xml:space="preserve">Ostale pomoći i darovnice (52): odnos iz 2024. u 2025. – 489.943 €, odnos u 2026. – 388.843 €, odnos u 2027. – 275.743 € i odnos u 2028. – 291.643 €.
</w:t>
      </w:r>
    </w:p>
    <w:p>
      <w:pPr>
        <w:jc w:val="both"/>
        <w:pStyle w:val="Normal"/>
      </w:pPr>
      <w:r>
        <w:rPr>
          <w:rFonts w:hAnsi="Times New Roman" w:cs="Times New Roman"/>
        </w:rPr>
        <w:t xml:space="preserve">Namjenski primici - ostali: donos iz 2024. u 2025.- 2.403.631 €, odnos u 2026. - 2.403.631 €, odnos u 2027. - 2.403.631 €, i odnos u 2028. - 2.403.631 €. 
</w:t>
      </w:r>
    </w:p>
    <w:p>
      <w:pPr>
        <w:jc w:val="both"/>
        <w:pStyle w:val="Normal"/>
      </w:pPr>
      <w:r>
        <w:rPr>
          <w:rFonts w:hAnsi="Times New Roman" w:cs="Times New Roman"/>
        </w:rPr>
        <w:t xml:space="preserve">UKUPNE I DOSPJELE OBVEZE:
</w:t>
      </w:r>
    </w:p>
    <w:p>
      <w:pPr>
        <w:jc w:val="both"/>
        <w:pStyle w:val="Normal"/>
      </w:pPr>
      <w:r>
        <w:rPr>
          <w:rFonts w:hAnsi="Times New Roman" w:cs="Times New Roman"/>
        </w:rPr>
        <w:t xml:space="preserve">Stanje obveza na dan 31.12.2023.                                       Stanje obveza na dan 30.06.2024. 
</w:t>
      </w:r>
    </w:p>
    <w:p>
      <w:pPr>
        <w:jc w:val="both"/>
        <w:pStyle w:val="Normal"/>
      </w:pPr>
      <w:r>
        <w:rPr>
          <w:rFonts w:hAnsi="Times New Roman" w:cs="Times New Roman"/>
        </w:rPr>
        <w:t xml:space="preserve">Ukupne obveze	        11.013.306,10 €                                              15.627.171,91 € 
</w:t>
      </w:r>
    </w:p>
    <w:p>
      <w:pPr>
        <w:jc w:val="both"/>
        <w:pStyle w:val="Normal"/>
      </w:pPr>
      <w:r>
        <w:rPr>
          <w:rFonts w:hAnsi="Times New Roman" w:cs="Times New Roman"/>
        </w:rPr>
        <w:t xml:space="preserve">Dospjele obveze	            219.242,65 €                                                1.261.981,25 €</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E45" w:rsidRDefault="007A7E45" w:rsidP="00F352E6">
      <w:r>
        <w:separator/>
      </w:r>
    </w:p>
  </w:endnote>
  <w:endnote w:type="continuationSeparator" w:id="0">
    <w:p w:rsidR="007A7E45" w:rsidRDefault="007A7E4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Pr="00D769ED" w:rsidRDefault="00FE4B89"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E45" w:rsidRDefault="007A7E45" w:rsidP="00F352E6">
      <w:r>
        <w:separator/>
      </w:r>
    </w:p>
  </w:footnote>
  <w:footnote w:type="continuationSeparator" w:id="0">
    <w:p w:rsidR="007A7E45" w:rsidRDefault="007A7E45"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Default="00FE4B89"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10779D"/>
    <w:rsid w:val="0013155A"/>
    <w:rsid w:val="0017490A"/>
    <w:rsid w:val="001E5246"/>
    <w:rsid w:val="0027042C"/>
    <w:rsid w:val="00311AA1"/>
    <w:rsid w:val="00382225"/>
    <w:rsid w:val="00386953"/>
    <w:rsid w:val="00463609"/>
    <w:rsid w:val="00480C76"/>
    <w:rsid w:val="004C01B5"/>
    <w:rsid w:val="0052289C"/>
    <w:rsid w:val="00524A66"/>
    <w:rsid w:val="00526A7C"/>
    <w:rsid w:val="005A70C0"/>
    <w:rsid w:val="005B6ED7"/>
    <w:rsid w:val="005E2D85"/>
    <w:rsid w:val="00633683"/>
    <w:rsid w:val="00674346"/>
    <w:rsid w:val="006B3283"/>
    <w:rsid w:val="007665AA"/>
    <w:rsid w:val="007A7E45"/>
    <w:rsid w:val="007D1C46"/>
    <w:rsid w:val="007D395B"/>
    <w:rsid w:val="007D4430"/>
    <w:rsid w:val="00847495"/>
    <w:rsid w:val="008636E2"/>
    <w:rsid w:val="008A7E2A"/>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7470A"/>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Anita Marasović</cp:lastModifiedBy>
  <cp:revision>14</cp:revision>
  <dcterms:created xsi:type="dcterms:W3CDTF">2016-10-28T08:23:00Z</dcterms:created>
  <dcterms:modified xsi:type="dcterms:W3CDTF">2016-11-09T08:08:00Z</dcterms:modified>
</cp:coreProperties>
</file>